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4965"/>
        <w:gridCol w:w="1290"/>
        <w:gridCol w:w="2697"/>
      </w:tblGrid>
      <w:tr w:rsidR="00747AB6">
        <w:trPr>
          <w:trHeight w:val="426"/>
        </w:trPr>
        <w:tc>
          <w:tcPr>
            <w:tcW w:w="1844" w:type="dxa"/>
            <w:vMerge w:val="restart"/>
          </w:tcPr>
          <w:p w:rsidR="00747AB6" w:rsidRDefault="00E27097">
            <w:pPr>
              <w:pStyle w:val="TableParagraph"/>
              <w:ind w:left="109"/>
              <w:rPr>
                <w:sz w:val="20"/>
              </w:rPr>
            </w:pPr>
            <w:r w:rsidRPr="00E27097">
              <w:rPr>
                <w:sz w:val="20"/>
              </w:rPr>
              <w:drawing>
                <wp:anchor distT="0" distB="0" distL="114300" distR="114300" simplePos="0" relativeHeight="503311264" behindDoc="1" locked="0" layoutInCell="1" allowOverlap="1">
                  <wp:simplePos x="0" y="0"/>
                  <wp:positionH relativeFrom="column">
                    <wp:posOffset>-71893</wp:posOffset>
                  </wp:positionH>
                  <wp:positionV relativeFrom="paragraph">
                    <wp:posOffset>110489</wp:posOffset>
                  </wp:positionV>
                  <wp:extent cx="1249956" cy="803082"/>
                  <wp:effectExtent l="0" t="0" r="7344" b="0"/>
                  <wp:wrapNone/>
                  <wp:docPr id="2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56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5" w:type="dxa"/>
            <w:gridSpan w:val="2"/>
            <w:vMerge w:val="restart"/>
            <w:shd w:val="clear" w:color="auto" w:fill="94B3D6"/>
          </w:tcPr>
          <w:p w:rsidR="00747AB6" w:rsidRDefault="00A215AC">
            <w:pPr>
              <w:pStyle w:val="TableParagraph"/>
              <w:spacing w:before="11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747AB6" w:rsidRDefault="00A215AC">
            <w:pPr>
              <w:pStyle w:val="TableParagraph"/>
              <w:ind w:left="213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SİİRT ÜNİVERSİTESİ</w:t>
            </w:r>
          </w:p>
          <w:p w:rsidR="00747AB6" w:rsidRDefault="00A215AC">
            <w:pPr>
              <w:pStyle w:val="TableParagraph"/>
              <w:spacing w:line="271" w:lineRule="exact"/>
              <w:ind w:left="21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Akış Süreç Çizelgesi</w:t>
            </w:r>
          </w:p>
        </w:tc>
        <w:tc>
          <w:tcPr>
            <w:tcW w:w="2697" w:type="dxa"/>
            <w:shd w:val="clear" w:color="auto" w:fill="94B3D6"/>
          </w:tcPr>
          <w:p w:rsidR="00747AB6" w:rsidRDefault="00A215AC" w:rsidP="00A215AC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Yayın Tarihi:20.07.2018</w:t>
            </w:r>
          </w:p>
        </w:tc>
      </w:tr>
      <w:tr w:rsidR="00747AB6">
        <w:trPr>
          <w:trHeight w:val="417"/>
        </w:trPr>
        <w:tc>
          <w:tcPr>
            <w:tcW w:w="1844" w:type="dxa"/>
            <w:vMerge/>
            <w:tcBorders>
              <w:top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2"/>
            <w:vMerge/>
            <w:tcBorders>
              <w:top w:val="nil"/>
            </w:tcBorders>
            <w:shd w:val="clear" w:color="auto" w:fill="94B3D6"/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94B3D6"/>
          </w:tcPr>
          <w:p w:rsidR="00747AB6" w:rsidRDefault="00A215AC">
            <w:pPr>
              <w:pStyle w:val="TableParagraph"/>
              <w:spacing w:before="6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Revize Tarihi: --</w:t>
            </w:r>
          </w:p>
        </w:tc>
      </w:tr>
      <w:tr w:rsidR="00747AB6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2"/>
            <w:vMerge w:val="restart"/>
            <w:shd w:val="clear" w:color="auto" w:fill="94B3D6"/>
          </w:tcPr>
          <w:p w:rsidR="00A215AC" w:rsidRDefault="00A215AC">
            <w:pPr>
              <w:pStyle w:val="TableParagraph"/>
              <w:ind w:left="216" w:right="208"/>
              <w:jc w:val="center"/>
              <w:rPr>
                <w:b/>
                <w:sz w:val="24"/>
              </w:rPr>
            </w:pPr>
          </w:p>
          <w:p w:rsidR="00747AB6" w:rsidRDefault="00A215AC">
            <w:pPr>
              <w:pStyle w:val="TableParagraph"/>
              <w:ind w:left="21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 SEKRETERLİK</w:t>
            </w:r>
          </w:p>
        </w:tc>
        <w:tc>
          <w:tcPr>
            <w:tcW w:w="2697" w:type="dxa"/>
            <w:shd w:val="clear" w:color="auto" w:fill="94B3D6"/>
          </w:tcPr>
          <w:p w:rsidR="00747AB6" w:rsidRDefault="00A215A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Versiyon No: 0</w:t>
            </w:r>
          </w:p>
        </w:tc>
      </w:tr>
      <w:tr w:rsidR="00747AB6">
        <w:trPr>
          <w:trHeight w:val="455"/>
        </w:trPr>
        <w:tc>
          <w:tcPr>
            <w:tcW w:w="1844" w:type="dxa"/>
            <w:vMerge/>
            <w:tcBorders>
              <w:top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2"/>
            <w:vMerge/>
            <w:tcBorders>
              <w:top w:val="nil"/>
            </w:tcBorders>
            <w:shd w:val="clear" w:color="auto" w:fill="94B3D6"/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94B3D6"/>
          </w:tcPr>
          <w:p w:rsidR="00747AB6" w:rsidRDefault="00A215AC" w:rsidP="00A215AC">
            <w:pPr>
              <w:pStyle w:val="TableParagraph"/>
              <w:spacing w:before="8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 Akış No: </w:t>
            </w:r>
            <w:r w:rsidR="00F222EE">
              <w:rPr>
                <w:b/>
                <w:sz w:val="24"/>
              </w:rPr>
              <w:t>32</w:t>
            </w:r>
          </w:p>
        </w:tc>
      </w:tr>
      <w:tr w:rsidR="00747AB6">
        <w:trPr>
          <w:trHeight w:val="364"/>
        </w:trPr>
        <w:tc>
          <w:tcPr>
            <w:tcW w:w="6809" w:type="dxa"/>
            <w:gridSpan w:val="2"/>
          </w:tcPr>
          <w:p w:rsidR="00747AB6" w:rsidRDefault="00A215AC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YILSONU İŞLEMLERİ İŞ AKIŞ SÜRECİ</w:t>
            </w:r>
          </w:p>
        </w:tc>
        <w:tc>
          <w:tcPr>
            <w:tcW w:w="1290" w:type="dxa"/>
          </w:tcPr>
          <w:p w:rsidR="00747AB6" w:rsidRDefault="00A215AC">
            <w:pPr>
              <w:pStyle w:val="TableParagraph"/>
              <w:spacing w:before="56"/>
              <w:ind w:left="106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2697" w:type="dxa"/>
          </w:tcPr>
          <w:p w:rsidR="00747AB6" w:rsidRDefault="00A215AC">
            <w:pPr>
              <w:pStyle w:val="TableParagraph"/>
              <w:spacing w:before="56"/>
              <w:ind w:left="105"/>
              <w:rPr>
                <w:b/>
              </w:rPr>
            </w:pPr>
            <w:r>
              <w:rPr>
                <w:b/>
              </w:rPr>
              <w:t>Mevzuatlar/Dokümanlar</w:t>
            </w:r>
          </w:p>
        </w:tc>
      </w:tr>
      <w:tr w:rsidR="00747AB6">
        <w:trPr>
          <w:trHeight w:val="1452"/>
        </w:trPr>
        <w:tc>
          <w:tcPr>
            <w:tcW w:w="6809" w:type="dxa"/>
            <w:gridSpan w:val="2"/>
            <w:tcBorders>
              <w:bottom w:val="nil"/>
            </w:tcBorders>
          </w:tcPr>
          <w:p w:rsidR="00747AB6" w:rsidRDefault="00747AB6">
            <w:pPr>
              <w:pStyle w:val="TableParagraph"/>
            </w:pPr>
          </w:p>
          <w:p w:rsidR="00747AB6" w:rsidRDefault="00A215AC">
            <w:pPr>
              <w:pStyle w:val="TableParagraph"/>
              <w:spacing w:before="133"/>
              <w:ind w:left="1207" w:right="1076" w:firstLine="81"/>
              <w:jc w:val="center"/>
              <w:rPr>
                <w:sz w:val="20"/>
              </w:rPr>
            </w:pPr>
            <w:r>
              <w:rPr>
                <w:sz w:val="20"/>
              </w:rPr>
              <w:t>İlgili Mali yıla ait ödeme evrakları say2000i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sisteminde onaylanıp Aralık ayı sona erdikten sonra (mali yılın son ermesi) ocak ayının ilk iş günü yılsonu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muhasebeleştirm</w:t>
            </w:r>
            <w:proofErr w:type="spellEnd"/>
            <w:r>
              <w:rPr>
                <w:sz w:val="20"/>
              </w:rPr>
              <w:t xml:space="preserve"> işlemlerine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başlanır.</w:t>
            </w:r>
          </w:p>
        </w:tc>
        <w:tc>
          <w:tcPr>
            <w:tcW w:w="1290" w:type="dxa"/>
            <w:tcBorders>
              <w:bottom w:val="nil"/>
            </w:tcBorders>
          </w:tcPr>
          <w:p w:rsidR="00747AB6" w:rsidRDefault="00747AB6">
            <w:pPr>
              <w:pStyle w:val="TableParagraph"/>
            </w:pPr>
          </w:p>
          <w:p w:rsidR="00747AB6" w:rsidRDefault="00747AB6">
            <w:pPr>
              <w:pStyle w:val="TableParagraph"/>
              <w:spacing w:before="1"/>
              <w:rPr>
                <w:sz w:val="18"/>
              </w:rPr>
            </w:pPr>
          </w:p>
          <w:p w:rsidR="00747AB6" w:rsidRDefault="00A215A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*Muhasebe </w:t>
            </w:r>
            <w:r>
              <w:rPr>
                <w:b/>
                <w:sz w:val="20"/>
              </w:rPr>
              <w:t>Yetkilisi</w:t>
            </w:r>
          </w:p>
        </w:tc>
        <w:tc>
          <w:tcPr>
            <w:tcW w:w="2697" w:type="dxa"/>
            <w:tcBorders>
              <w:bottom w:val="nil"/>
            </w:tcBorders>
          </w:tcPr>
          <w:p w:rsidR="00747AB6" w:rsidRDefault="00747AB6">
            <w:pPr>
              <w:pStyle w:val="TableParagraph"/>
              <w:rPr>
                <w:sz w:val="30"/>
              </w:rPr>
            </w:pPr>
          </w:p>
          <w:p w:rsidR="00747AB6" w:rsidRDefault="00A215AC">
            <w:pPr>
              <w:pStyle w:val="TableParagraph"/>
              <w:spacing w:before="1"/>
              <w:ind w:left="105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proofErr w:type="spellStart"/>
            <w:r>
              <w:rPr>
                <w:b/>
                <w:sz w:val="20"/>
              </w:rPr>
              <w:t>Muh</w:t>
            </w:r>
            <w:proofErr w:type="spellEnd"/>
            <w:r>
              <w:rPr>
                <w:b/>
                <w:sz w:val="20"/>
              </w:rPr>
              <w:t>. Gen. Md. Özel Bütçe Muhasebe Birimleri Ay Sonu ve Yıl Sonu İşlemleri Kılavuzu</w:t>
            </w:r>
          </w:p>
        </w:tc>
      </w:tr>
      <w:tr w:rsidR="00747AB6">
        <w:trPr>
          <w:trHeight w:val="164"/>
        </w:trPr>
        <w:tc>
          <w:tcPr>
            <w:tcW w:w="6809" w:type="dxa"/>
            <w:gridSpan w:val="2"/>
            <w:vMerge w:val="restart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747AB6" w:rsidRDefault="00747AB6">
            <w:pPr>
              <w:pStyle w:val="TableParagraph"/>
              <w:rPr>
                <w:sz w:val="1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747AB6" w:rsidRDefault="00747AB6">
            <w:pPr>
              <w:pStyle w:val="TableParagraph"/>
              <w:rPr>
                <w:sz w:val="10"/>
              </w:rPr>
            </w:pPr>
          </w:p>
        </w:tc>
      </w:tr>
      <w:tr w:rsidR="00747AB6">
        <w:trPr>
          <w:trHeight w:val="323"/>
        </w:trPr>
        <w:tc>
          <w:tcPr>
            <w:tcW w:w="6809" w:type="dxa"/>
            <w:gridSpan w:val="2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</w:tr>
      <w:tr w:rsidR="00747AB6">
        <w:trPr>
          <w:trHeight w:val="1056"/>
        </w:trPr>
        <w:tc>
          <w:tcPr>
            <w:tcW w:w="6809" w:type="dxa"/>
            <w:gridSpan w:val="2"/>
            <w:tcBorders>
              <w:top w:val="nil"/>
              <w:bottom w:val="nil"/>
            </w:tcBorders>
          </w:tcPr>
          <w:p w:rsidR="00747AB6" w:rsidRDefault="00A215AC">
            <w:pPr>
              <w:pStyle w:val="TableParagraph"/>
              <w:spacing w:before="44"/>
              <w:ind w:left="671" w:right="339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Merkezi Yönetim Muhasebe Yönetmeliği hükümleri kapsamında 31 Aralık gününün </w:t>
            </w:r>
            <w:proofErr w:type="spellStart"/>
            <w:r>
              <w:rPr>
                <w:sz w:val="20"/>
              </w:rPr>
              <w:t>yevmiyesi</w:t>
            </w:r>
            <w:proofErr w:type="spellEnd"/>
            <w:r>
              <w:rPr>
                <w:sz w:val="20"/>
              </w:rPr>
              <w:t xml:space="preserve"> kapatılır ve ana hesaba bağlı diğer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hesapların da aynı şekilde giriş ve çıkış işlemleri yapılıp hesapların uygunluğu 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747AB6" w:rsidRDefault="00A215AC">
            <w:pPr>
              <w:pStyle w:val="TableParagraph"/>
              <w:spacing w:before="20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*Banka Ekstreleri,</w:t>
            </w:r>
          </w:p>
          <w:p w:rsidR="00747AB6" w:rsidRDefault="00A215A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Devreden Verilen </w:t>
            </w:r>
            <w:proofErr w:type="gramStart"/>
            <w:r>
              <w:rPr>
                <w:b/>
                <w:sz w:val="20"/>
              </w:rPr>
              <w:t>Gön.em</w:t>
            </w:r>
            <w:proofErr w:type="gramEnd"/>
            <w:r>
              <w:rPr>
                <w:b/>
                <w:sz w:val="20"/>
              </w:rPr>
              <w:t>. Hesap Raporu</w:t>
            </w:r>
          </w:p>
        </w:tc>
      </w:tr>
      <w:tr w:rsidR="00747AB6">
        <w:trPr>
          <w:trHeight w:val="344"/>
        </w:trPr>
        <w:tc>
          <w:tcPr>
            <w:tcW w:w="6809" w:type="dxa"/>
            <w:gridSpan w:val="2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vMerge w:val="restart"/>
          </w:tcPr>
          <w:p w:rsidR="00747AB6" w:rsidRDefault="00747AB6">
            <w:pPr>
              <w:pStyle w:val="TableParagraph"/>
              <w:spacing w:before="10"/>
              <w:rPr>
                <w:sz w:val="29"/>
              </w:rPr>
            </w:pPr>
          </w:p>
          <w:p w:rsidR="00747AB6" w:rsidRDefault="00A215AC">
            <w:pPr>
              <w:pStyle w:val="TableParagraph"/>
              <w:ind w:left="105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*Kasa Banka Kur Değer Tespit Tutanağı,</w:t>
            </w:r>
          </w:p>
          <w:p w:rsidR="00747AB6" w:rsidRDefault="00A215AC">
            <w:pPr>
              <w:pStyle w:val="TableParagraph"/>
              <w:ind w:left="105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*Devreden Emanetler Hesap Raporu</w:t>
            </w:r>
          </w:p>
        </w:tc>
      </w:tr>
      <w:tr w:rsidR="00747AB6">
        <w:trPr>
          <w:trHeight w:val="1025"/>
        </w:trPr>
        <w:tc>
          <w:tcPr>
            <w:tcW w:w="6809" w:type="dxa"/>
            <w:gridSpan w:val="2"/>
            <w:vMerge w:val="restart"/>
            <w:tcBorders>
              <w:top w:val="nil"/>
              <w:bottom w:val="nil"/>
            </w:tcBorders>
          </w:tcPr>
          <w:p w:rsidR="00747AB6" w:rsidRDefault="00A215AC">
            <w:pPr>
              <w:pStyle w:val="TableParagraph"/>
              <w:spacing w:before="78"/>
              <w:ind w:left="881" w:right="658" w:firstLine="2"/>
              <w:jc w:val="center"/>
              <w:rPr>
                <w:sz w:val="20"/>
              </w:rPr>
            </w:pPr>
            <w:r>
              <w:rPr>
                <w:sz w:val="20"/>
              </w:rPr>
              <w:t>Avrupa Birliği hesaplarının kur değerleme işlemleri yapılır. Proje hesapları- banka- TTS (</w:t>
            </w:r>
            <w:proofErr w:type="spellStart"/>
            <w:r>
              <w:rPr>
                <w:sz w:val="20"/>
              </w:rPr>
              <w:t>Tübitak</w:t>
            </w:r>
            <w:proofErr w:type="spellEnd"/>
            <w:r>
              <w:rPr>
                <w:sz w:val="20"/>
              </w:rPr>
              <w:t>) Sistemi Karşılaştırmaları yapılır.</w:t>
            </w:r>
          </w:p>
          <w:p w:rsidR="00747AB6" w:rsidRDefault="00A215AC">
            <w:pPr>
              <w:pStyle w:val="TableParagraph"/>
              <w:spacing w:before="3"/>
              <w:ind w:left="751"/>
              <w:rPr>
                <w:sz w:val="20"/>
              </w:rPr>
            </w:pPr>
            <w:proofErr w:type="gramStart"/>
            <w:r>
              <w:rPr>
                <w:sz w:val="20"/>
              </w:rPr>
              <w:t>devreden</w:t>
            </w:r>
            <w:proofErr w:type="gramEnd"/>
            <w:r>
              <w:rPr>
                <w:sz w:val="20"/>
              </w:rPr>
              <w:t xml:space="preserve"> hesaplar, muhasebe banka kayıtları ve mizan kontrol edilir.</w:t>
            </w:r>
          </w:p>
          <w:p w:rsidR="00747AB6" w:rsidRDefault="00747AB6">
            <w:pPr>
              <w:pStyle w:val="TableParagraph"/>
            </w:pPr>
          </w:p>
          <w:p w:rsidR="00747AB6" w:rsidRDefault="00747AB6">
            <w:pPr>
              <w:pStyle w:val="TableParagraph"/>
            </w:pPr>
          </w:p>
          <w:p w:rsidR="00747AB6" w:rsidRDefault="00A215AC">
            <w:pPr>
              <w:pStyle w:val="TableParagraph"/>
              <w:spacing w:before="131"/>
              <w:ind w:left="630" w:right="394"/>
              <w:jc w:val="center"/>
              <w:rPr>
                <w:sz w:val="20"/>
              </w:rPr>
            </w:pPr>
            <w:r>
              <w:rPr>
                <w:sz w:val="20"/>
              </w:rPr>
              <w:t>Harcama birimlerinin 4.dönem tüketim çıkışları yapılır. Taşınır yönetim dönemi hesapları say2000i-KBS karşılaştırmaları yapılır. Hatalı olanlar düzeltilir. Hesaplar netleştirilir.</w:t>
            </w:r>
          </w:p>
        </w:tc>
        <w:tc>
          <w:tcPr>
            <w:tcW w:w="1290" w:type="dxa"/>
            <w:vMerge w:val="restart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</w:pPr>
          </w:p>
          <w:p w:rsidR="00747AB6" w:rsidRDefault="00747AB6">
            <w:pPr>
              <w:pStyle w:val="TableParagraph"/>
            </w:pPr>
          </w:p>
          <w:p w:rsidR="00747AB6" w:rsidRDefault="00747AB6">
            <w:pPr>
              <w:pStyle w:val="TableParagraph"/>
              <w:spacing w:before="1"/>
              <w:rPr>
                <w:sz w:val="32"/>
              </w:rPr>
            </w:pPr>
          </w:p>
          <w:p w:rsidR="00747AB6" w:rsidRDefault="00A215AC">
            <w:pPr>
              <w:pStyle w:val="TableParagraph"/>
              <w:ind w:left="106" w:right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*Muhasebe, </w:t>
            </w:r>
            <w:r>
              <w:rPr>
                <w:b/>
                <w:sz w:val="20"/>
              </w:rPr>
              <w:t>Kesin Hesap ve Raporlama Şube Müdürlüğü</w:t>
            </w:r>
          </w:p>
          <w:p w:rsidR="00747AB6" w:rsidRDefault="00A215AC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Personeli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</w:tr>
      <w:tr w:rsidR="00747AB6">
        <w:trPr>
          <w:trHeight w:val="1182"/>
        </w:trPr>
        <w:tc>
          <w:tcPr>
            <w:tcW w:w="6809" w:type="dxa"/>
            <w:gridSpan w:val="2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747AB6" w:rsidRDefault="00747AB6">
            <w:pPr>
              <w:pStyle w:val="TableParagraph"/>
              <w:spacing w:before="3"/>
              <w:rPr>
                <w:sz w:val="21"/>
              </w:rPr>
            </w:pPr>
          </w:p>
          <w:p w:rsidR="00747AB6" w:rsidRDefault="00A215AC">
            <w:pPr>
              <w:pStyle w:val="TableParagraph"/>
              <w:ind w:left="105" w:right="4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*Tüketim Çıkış Raporu, Taşınır Yönetim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Dönemi Hesabı</w:t>
            </w:r>
          </w:p>
        </w:tc>
      </w:tr>
      <w:tr w:rsidR="00747AB6">
        <w:trPr>
          <w:trHeight w:val="254"/>
        </w:trPr>
        <w:tc>
          <w:tcPr>
            <w:tcW w:w="6809" w:type="dxa"/>
            <w:gridSpan w:val="2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restart"/>
          </w:tcPr>
          <w:p w:rsidR="00747AB6" w:rsidRDefault="00747AB6">
            <w:pPr>
              <w:pStyle w:val="TableParagraph"/>
              <w:spacing w:before="10"/>
              <w:rPr>
                <w:sz w:val="21"/>
              </w:rPr>
            </w:pPr>
          </w:p>
          <w:p w:rsidR="00747AB6" w:rsidRDefault="00A215AC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*5018 Sayılı Kamu Mali Yönetim Kontrol Kanunu, Merkezi Yönetim Muhasebe Yönetmeliği</w:t>
            </w:r>
          </w:p>
        </w:tc>
      </w:tr>
      <w:tr w:rsidR="00747AB6">
        <w:trPr>
          <w:trHeight w:val="937"/>
        </w:trPr>
        <w:tc>
          <w:tcPr>
            <w:tcW w:w="6809" w:type="dxa"/>
            <w:gridSpan w:val="2"/>
            <w:vMerge w:val="restart"/>
            <w:tcBorders>
              <w:top w:val="nil"/>
              <w:bottom w:val="nil"/>
            </w:tcBorders>
          </w:tcPr>
          <w:p w:rsidR="00747AB6" w:rsidRDefault="00A215AC">
            <w:pPr>
              <w:pStyle w:val="TableParagraph"/>
              <w:spacing w:before="88" w:line="276" w:lineRule="auto"/>
              <w:ind w:left="559" w:right="394"/>
              <w:jc w:val="center"/>
              <w:rPr>
                <w:sz w:val="20"/>
              </w:rPr>
            </w:pPr>
            <w:r>
              <w:rPr>
                <w:sz w:val="20"/>
              </w:rPr>
              <w:t>Ay sonu işlemleri ödenekli giderler Muhasebe işlem fişi (MİF) oluşturulur. Hata raporlarında hata varsa düzeltme işlemleri hata kaynağına göre düzeltilir.</w:t>
            </w:r>
          </w:p>
        </w:tc>
        <w:tc>
          <w:tcPr>
            <w:tcW w:w="1290" w:type="dxa"/>
            <w:vMerge w:val="restart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</w:tr>
      <w:tr w:rsidR="00747AB6">
        <w:trPr>
          <w:trHeight w:val="283"/>
        </w:trPr>
        <w:tc>
          <w:tcPr>
            <w:tcW w:w="6809" w:type="dxa"/>
            <w:gridSpan w:val="2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</w:tr>
      <w:tr w:rsidR="00747AB6">
        <w:trPr>
          <w:trHeight w:val="1263"/>
        </w:trPr>
        <w:tc>
          <w:tcPr>
            <w:tcW w:w="6809" w:type="dxa"/>
            <w:gridSpan w:val="2"/>
            <w:tcBorders>
              <w:top w:val="nil"/>
              <w:bottom w:val="nil"/>
            </w:tcBorders>
          </w:tcPr>
          <w:p w:rsidR="00747AB6" w:rsidRDefault="00A215AC">
            <w:pPr>
              <w:pStyle w:val="TableParagraph"/>
              <w:spacing w:before="21" w:line="242" w:lineRule="auto"/>
              <w:ind w:left="477" w:right="34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Say2000i sistemi üzerinden Merkezi Yönetim Muhasebe Yönetmeliği hükümleri kapsamında hesaplar kontrol edilir. Yılsonu işlemleri </w:t>
            </w:r>
            <w:proofErr w:type="gramStart"/>
            <w:r>
              <w:rPr>
                <w:sz w:val="20"/>
              </w:rPr>
              <w:t>modülüne</w:t>
            </w:r>
            <w:proofErr w:type="gramEnd"/>
            <w:r>
              <w:rPr>
                <w:sz w:val="20"/>
              </w:rPr>
              <w:t xml:space="preserve"> girilir işlem basamakları teker </w:t>
            </w:r>
            <w:proofErr w:type="spellStart"/>
            <w:r>
              <w:rPr>
                <w:sz w:val="20"/>
              </w:rPr>
              <w:t>teker</w:t>
            </w:r>
            <w:proofErr w:type="spellEnd"/>
            <w:r>
              <w:rPr>
                <w:sz w:val="20"/>
              </w:rPr>
              <w:t xml:space="preserve"> geçilir. Harcama birimler bazında </w:t>
            </w:r>
            <w:proofErr w:type="gramStart"/>
            <w:r>
              <w:rPr>
                <w:sz w:val="20"/>
              </w:rPr>
              <w:t>amortisman</w:t>
            </w:r>
            <w:proofErr w:type="gramEnd"/>
            <w:r>
              <w:rPr>
                <w:sz w:val="20"/>
              </w:rPr>
              <w:t xml:space="preserve"> onaylama işlemleri de bu aşamada yapılır.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747AB6" w:rsidRDefault="00A215AC">
            <w:pPr>
              <w:pStyle w:val="TableParagraph"/>
              <w:spacing w:before="6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*Amortisman İcmal Cetveli, 5018 Sayılı Kamu Mali Yönetim Kontrol Kanunu,</w:t>
            </w:r>
          </w:p>
          <w:p w:rsidR="00747AB6" w:rsidRDefault="00A215AC">
            <w:pPr>
              <w:pStyle w:val="TableParagraph"/>
              <w:spacing w:before="9" w:line="248" w:lineRule="exact"/>
              <w:ind w:left="105" w:right="167" w:firstLine="50"/>
              <w:rPr>
                <w:b/>
                <w:sz w:val="20"/>
              </w:rPr>
            </w:pPr>
            <w:r>
              <w:rPr>
                <w:rFonts w:ascii="Calibri" w:hAnsi="Calibri"/>
                <w:b/>
              </w:rPr>
              <w:t>*</w:t>
            </w:r>
            <w:r>
              <w:rPr>
                <w:b/>
                <w:sz w:val="20"/>
              </w:rPr>
              <w:t>Merkezi Yönetim Muhasebe Yönetmeliği</w:t>
            </w:r>
          </w:p>
        </w:tc>
      </w:tr>
      <w:tr w:rsidR="00747AB6">
        <w:trPr>
          <w:trHeight w:val="350"/>
        </w:trPr>
        <w:tc>
          <w:tcPr>
            <w:tcW w:w="6809" w:type="dxa"/>
            <w:gridSpan w:val="2"/>
            <w:vMerge w:val="restart"/>
            <w:tcBorders>
              <w:top w:val="nil"/>
              <w:bottom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747AB6" w:rsidRDefault="00747AB6">
            <w:pPr>
              <w:pStyle w:val="TableParagraph"/>
              <w:rPr>
                <w:sz w:val="20"/>
              </w:rPr>
            </w:pPr>
          </w:p>
        </w:tc>
      </w:tr>
      <w:tr w:rsidR="00747AB6">
        <w:trPr>
          <w:trHeight w:val="225"/>
        </w:trPr>
        <w:tc>
          <w:tcPr>
            <w:tcW w:w="6809" w:type="dxa"/>
            <w:gridSpan w:val="2"/>
            <w:vMerge/>
            <w:tcBorders>
              <w:top w:val="nil"/>
              <w:bottom w:val="nil"/>
            </w:tcBorders>
          </w:tcPr>
          <w:p w:rsidR="00747AB6" w:rsidRDefault="00747AB6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747AB6" w:rsidRDefault="00747AB6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:rsidR="00747AB6" w:rsidRDefault="00747AB6">
            <w:pPr>
              <w:pStyle w:val="TableParagraph"/>
              <w:rPr>
                <w:sz w:val="16"/>
              </w:rPr>
            </w:pPr>
          </w:p>
        </w:tc>
      </w:tr>
      <w:tr w:rsidR="00747AB6">
        <w:trPr>
          <w:trHeight w:val="1756"/>
        </w:trPr>
        <w:tc>
          <w:tcPr>
            <w:tcW w:w="6809" w:type="dxa"/>
            <w:gridSpan w:val="2"/>
            <w:tcBorders>
              <w:top w:val="nil"/>
            </w:tcBorders>
          </w:tcPr>
          <w:p w:rsidR="00747AB6" w:rsidRDefault="00A215AC">
            <w:pPr>
              <w:pStyle w:val="TableParagraph"/>
              <w:spacing w:before="197"/>
              <w:ind w:left="1473" w:right="1179" w:hanging="56"/>
              <w:jc w:val="both"/>
              <w:rPr>
                <w:sz w:val="20"/>
              </w:rPr>
            </w:pPr>
            <w:r>
              <w:rPr>
                <w:sz w:val="20"/>
              </w:rPr>
              <w:t>Muhasebe Yetkilisi tarafından hesap kapama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yapılıp 1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z w:val="20"/>
              </w:rPr>
              <w:t xml:space="preserve"> açılış kaydı oluşturularak onaylanır ve ilgili yıl kapatılmış olur. Gelecek mali yıla geçme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izni</w:t>
            </w:r>
          </w:p>
          <w:p w:rsidR="00747AB6" w:rsidRDefault="00A215AC">
            <w:pPr>
              <w:pStyle w:val="TableParagraph"/>
              <w:spacing w:before="1"/>
              <w:ind w:left="2529" w:right="296" w:hanging="922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bilgiler Maliye Bakanlığı Muhasebat Genel Müdürlüğüne gönderilir.</w:t>
            </w:r>
          </w:p>
        </w:tc>
        <w:tc>
          <w:tcPr>
            <w:tcW w:w="1290" w:type="dxa"/>
            <w:tcBorders>
              <w:top w:val="nil"/>
            </w:tcBorders>
          </w:tcPr>
          <w:p w:rsidR="00747AB6" w:rsidRDefault="00747AB6">
            <w:pPr>
              <w:pStyle w:val="TableParagraph"/>
            </w:pPr>
          </w:p>
          <w:p w:rsidR="00747AB6" w:rsidRDefault="00A215AC">
            <w:pPr>
              <w:pStyle w:val="TableParagraph"/>
              <w:spacing w:before="164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*Muhasebe </w:t>
            </w:r>
            <w:r>
              <w:rPr>
                <w:b/>
                <w:sz w:val="20"/>
              </w:rPr>
              <w:t>Yetkilisi</w:t>
            </w:r>
          </w:p>
        </w:tc>
        <w:tc>
          <w:tcPr>
            <w:tcW w:w="2697" w:type="dxa"/>
            <w:tcBorders>
              <w:top w:val="nil"/>
            </w:tcBorders>
          </w:tcPr>
          <w:p w:rsidR="00747AB6" w:rsidRDefault="00747AB6">
            <w:pPr>
              <w:pStyle w:val="TableParagraph"/>
              <w:spacing w:before="6"/>
              <w:rPr>
                <w:sz w:val="24"/>
              </w:rPr>
            </w:pPr>
          </w:p>
          <w:p w:rsidR="00747AB6" w:rsidRDefault="00A215A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rFonts w:ascii="Calibri" w:hAnsi="Calibri"/>
                <w:b/>
              </w:rPr>
              <w:t>*</w:t>
            </w:r>
            <w:r>
              <w:rPr>
                <w:b/>
                <w:sz w:val="20"/>
              </w:rPr>
              <w:t>5018 Sayılı Kamu Mali Yönetim Kontrol Kanunu, Merkezi Yönetim Muhasebe Yönetmeliği</w:t>
            </w:r>
          </w:p>
        </w:tc>
      </w:tr>
    </w:tbl>
    <w:p w:rsidR="00747AB6" w:rsidRDefault="00CF349E">
      <w:pPr>
        <w:rPr>
          <w:sz w:val="2"/>
          <w:szCs w:val="2"/>
        </w:rPr>
      </w:pPr>
      <w:r w:rsidRPr="00CF349E">
        <w:pict>
          <v:shape id="_x0000_s1038" style="position:absolute;margin-left:28.95pt;margin-top:139.2pt;width:335.7pt;height:76.5pt;z-index:-7288;mso-position-horizontal-relative:page;mso-position-vertical-relative:page" coordorigin="579,2784" coordsize="6714,1530" path="m579,3549r17,-78l647,3395r52,-49l764,3298r79,-47l934,3206r103,-43l1152,3121r62,-20l1278,3082r68,-20l1415,3044r73,-18l1562,3008r77,-17l1719,2975r82,-16l1885,2943r86,-14l2059,2915r90,-14l2242,2888r94,-12l2432,2865r98,-11l2629,2844r102,-9l2833,2826r105,-8l3044,2811r107,-6l3259,2800r110,-5l3480,2791r113,-3l3706,2786r115,-2l3936,2784r115,l4166,2786r113,2l4392,2791r111,4l4613,2800r108,5l4828,2811r106,7l5039,2826r102,9l5243,2844r99,10l5440,2865r96,11l5630,2888r93,13l5813,2915r88,14l5987,2943r84,16l6153,2975r80,16l6310,3008r74,18l6457,3044r69,18l6594,3082r64,19l6720,3121r59,21l6888,3184r97,45l7070,3274r72,48l7201,3370r44,50l7285,3497r8,52l7291,3575r-29,78l7225,3703r-52,49l7108,3800r-79,47l6938,3892r-103,43l6720,3977r-62,20l6594,4016r-68,20l6457,4054r-73,18l6310,4090r-77,17l6153,4123r-82,16l5987,4155r-86,14l5813,4183r-90,14l5630,4210r-94,12l5440,4233r-98,11l5243,4254r-102,9l5039,4272r-105,8l4828,4287r-107,6l4613,4298r-110,5l4392,4307r-113,3l4166,4312r-115,2l3936,4314r-115,l3706,4312r-113,-2l3480,4307r-111,-4l3259,4298r-108,-5l3044,4287r-106,-7l2833,4272r-102,-9l2629,4254r-99,-10l2432,4233r-96,-11l2242,4210r-93,-13l2059,4183r-88,-14l1885,4155r-84,-16l1719,4123r-80,-16l1562,4090r-74,-18l1415,4054r-69,-18l1278,4016r-64,-19l1152,3977r-59,-21l984,3914r-97,-45l802,3824r-72,-48l671,3728r-44,-50l587,3601r-8,-52xe" filled="f" strokecolor="#4f81bc" strokeweight="2pt">
            <v:path arrowok="t"/>
            <w10:wrap anchorx="page" anchory="page"/>
          </v:shape>
        </w:pict>
      </w:r>
      <w:r w:rsidRPr="00CF349E">
        <w:pict>
          <v:group id="_x0000_s1026" style="position:absolute;margin-left:42.65pt;margin-top:215.35pt;width:323.6pt;height:451.35pt;z-index:-7264;mso-position-horizontal-relative:page;mso-position-vertical-relative:page" coordorigin="853,4307" coordsize="6472,90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041;top:4307;width:120;height:322">
              <v:imagedata r:id="rId5" o:title=""/>
            </v:shape>
            <v:shape id="_x0000_s1036" style="position:absolute;left:954;top:4616;width:6351;height:2384" coordorigin="954,4616" coordsize="6351,2384" o:spt="100" adj="0,,0" path="m954,5756r6351,l7305,4616r-6351,l954,5756xm954,7000r6244,l7198,6070r-6244,l954,7000xe" filled="f" strokecolor="#4f81bc" strokeweight="2pt">
              <v:stroke joinstyle="round"/>
              <v:formulas/>
              <v:path arrowok="t" o:connecttype="segments"/>
            </v:shape>
            <v:shape id="_x0000_s1035" type="#_x0000_t75" style="position:absolute;left:4050;top:5748;width:120;height:322">
              <v:imagedata r:id="rId6" o:title=""/>
            </v:shape>
            <v:rect id="_x0000_s1034" style="position:absolute;left:969;top:7399;width:6226;height:825" filled="f" strokecolor="#4f81bc" strokeweight="2pt"/>
            <v:shape id="_x0000_s1033" style="position:absolute;left:4076;top:6969;width:120;height:406" coordorigin="4077,6970" coordsize="120,406" o:spt="100" adj="0,,0" path="m4077,7253r57,122l4187,7275r-43,l4129,7275r,-20l4077,7253xm4129,7255r,20l4144,7275r,-20l4129,7255xm4144,7255r,20l4187,7275r10,-19l4144,7255xm4135,6970r-6,285l4144,7255r6,-285l4135,6970xe" fillcolor="black" stroked="f">
              <v:stroke joinstyle="round"/>
              <v:formulas/>
              <v:path arrowok="t" o:connecttype="segments"/>
            </v:shape>
            <v:rect id="_x0000_s1032" style="position:absolute;left:894;top:8572;width:6301;height:900" filled="f" strokecolor="#4f81bc" strokeweight="2pt"/>
            <v:shape id="_x0000_s1031" type="#_x0000_t75" style="position:absolute;left:4119;top:8220;width:120;height:345">
              <v:imagedata r:id="rId7" o:title=""/>
            </v:shape>
            <v:rect id="_x0000_s1030" style="position:absolute;left:873;top:9738;width:6313;height:1341" filled="f" strokecolor="#4f81bc" strokeweight="2pt"/>
            <v:shape id="_x0000_s1029" type="#_x0000_t75" style="position:absolute;left:4080;top:9472;width:120;height:301">
              <v:imagedata r:id="rId8" o:title=""/>
            </v:shape>
            <v:shape id="_x0000_s1028" type="#_x0000_t75" style="position:absolute;left:4044;top:11072;width:120;height:375">
              <v:imagedata r:id="rId9" o:title=""/>
            </v:shape>
            <v:shape id="_x0000_s1027" style="position:absolute;left:873;top:11498;width:6420;height:1815" coordorigin="873,11499" coordsize="6420,1815" path="m873,12406r8,-63l904,12280r37,-60l992,12160r66,-58l1136,12046r90,-54l1329,11940r56,-26l1444,11890r61,-25l1569,11842r66,-23l1705,11797r71,-22l1851,11754r76,-20l2006,11714r81,-19l2170,11677r86,-17l2343,11644r90,-16l2524,11613r93,-14l2712,11585r97,-12l2908,11562r100,-11l3109,11541r103,-8l3317,11525r106,-7l3530,11512r108,-5l3748,11504r111,-3l3970,11499r113,l4196,11499r111,2l4418,11504r110,3l4636,11512r107,6l4849,11525r105,8l5057,11541r101,10l5258,11562r99,11l5454,11585r95,14l5642,11613r91,15l5823,11644r87,16l5996,11677r83,18l6160,11714r79,20l6315,11754r75,21l6461,11797r70,22l6597,11842r64,23l6722,11890r59,24l6837,11940r103,52l7030,12046r78,56l7174,12160r51,60l7262,12280r23,63l7293,12406r-2,32l7276,12501r-30,62l7201,12623r-58,59l7071,12739r-85,55l6890,12847r-109,51l6722,12923r-61,24l6597,12971r-66,22l6461,13016r-71,21l6315,13058r-76,21l6160,13098r-81,19l5996,13135r-86,17l5823,13169r-90,16l5642,13200r-93,14l5454,13227r-97,13l5258,13251r-100,11l5057,13271r-103,9l4849,13288r-106,7l4636,13300r-108,5l4418,13309r-111,3l4196,13313r-113,1l3970,13313r-111,-1l3748,13309r-110,-4l3530,13300r-107,-5l3317,13288r-105,-8l3109,13271r-101,-9l2908,13251r-99,-11l2712,13227r-95,-13l2524,13200r-91,-15l2343,13169r-87,-17l2170,13135r-83,-18l2006,13098r-79,-19l1851,13058r-75,-21l1705,13016r-70,-23l1569,12971r-64,-24l1444,12923r-59,-25l1329,12873r-103,-52l1136,12766r-78,-56l992,12652r-51,-59l904,12532r-23,-62l873,12406xe" filled="f" strokecolor="#4f81bc" strokeweight="2pt">
              <v:path arrowok="t"/>
            </v:shape>
            <w10:wrap anchorx="page" anchory="page"/>
          </v:group>
        </w:pict>
      </w:r>
    </w:p>
    <w:sectPr w:rsidR="00747AB6" w:rsidSect="00747AB6">
      <w:type w:val="continuous"/>
      <w:pgSz w:w="11910" w:h="16840"/>
      <w:pgMar w:top="680" w:right="44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7AB6"/>
    <w:rsid w:val="00747AB6"/>
    <w:rsid w:val="00976E46"/>
    <w:rsid w:val="00A215AC"/>
    <w:rsid w:val="00CF349E"/>
    <w:rsid w:val="00E27097"/>
    <w:rsid w:val="00F2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AB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47AB6"/>
  </w:style>
  <w:style w:type="paragraph" w:customStyle="1" w:styleId="TableParagraph">
    <w:name w:val="Table Paragraph"/>
    <w:basedOn w:val="Normal"/>
    <w:uiPriority w:val="1"/>
    <w:qFormat/>
    <w:rsid w:val="00747AB6"/>
  </w:style>
  <w:style w:type="paragraph" w:styleId="BalonMetni">
    <w:name w:val="Balloon Text"/>
    <w:basedOn w:val="Normal"/>
    <w:link w:val="BalonMetniChar"/>
    <w:uiPriority w:val="99"/>
    <w:semiHidden/>
    <w:unhideWhenUsed/>
    <w:rsid w:val="00A215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5A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nkuu</dc:creator>
  <cp:lastModifiedBy>Bilgisayar</cp:lastModifiedBy>
  <cp:revision>4</cp:revision>
  <dcterms:created xsi:type="dcterms:W3CDTF">2018-07-20T11:53:00Z</dcterms:created>
  <dcterms:modified xsi:type="dcterms:W3CDTF">2018-10-03T10:33:00Z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